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11 37 vom 26. März 2012</w:t>
      </w:r>
    </w:p>
    <w:p>
      <w:r>
        <w:t>VS Kantonsgericht, 2012-03-26, FR</w:t>
      </w:r>
    </w:p>
    <w:p>
      <w:r>
        <w:rPr>
          <w:b/>
        </w:rPr>
        <w:t xml:space="preserve">Quelle: </w:t>
      </w:r>
      <w:r>
        <w:t>https://mcp.opencaselaw.ch/entscheid/vs_gerichte_P1 11 37</w:t>
      </w:r>
    </w:p>
    <w:p>
      <w:r>
        <w:t>FR: VS_GERICHTE P1 11 37 du 26 mars 2012</w:t>
      </w:r>
    </w:p>
    <w:p>
      <w:r>
        <w:t>IT: VS_GERICHTE P1 11 37 del 26 marzo 2012</w:t>
      </w:r>
    </w:p>
    <w:p>
      <w:pPr>
        <w:pStyle w:val="Heading2"/>
      </w:pPr>
      <w:r>
        <w:t>Regeste</w:t>
      </w:r>
    </w:p>
    <w:p>
      <w:r>
        <w:t>P1 11 37 JUGEMENT DU 26 MARS 2012 Tribunal cantonal du Valais Cour pénale I Jérôme Emonet, juge unique, assisté de Geneviève Berclaz Coquoz, greffière; dans la cause pénale entre X__________, et Y__________, parties civiles appelées, représentées par Me A__________ contre Z__________, accusé et appelant, représenté par Me B___________</w:t>
      </w:r>
    </w:p>
    <w:p>
      <w:pPr>
        <w:pStyle w:val="Heading2"/>
      </w:pPr>
      <w:r>
        <w:t>Erwägungen</w:t>
      </w:r>
    </w:p>
    <w:p>
      <w:r>
        <w:rPr>
          <w:b/>
        </w:rPr>
        <w:t>E. 1</w:t>
      </w:r>
    </w:p>
    <w:p>
      <w:r>
        <w:t>a) Le 1er janvier 2011 est entré en vigueur le Code de procédure pénale suisse du</w:t>
      </w:r>
    </w:p>
    <w:p>
      <w:r>
        <w:rPr>
          <w:b/>
        </w:rPr>
        <w:t>E. 5</w:t>
      </w:r>
    </w:p>
    <w:p>
      <w:r>
        <w:t>a) Le premier juge a correctement rappelé la teneur de l'art. 47 CP, ainsi que la portée de cette disposition à la lumière de la jurisprudence et de la doctrine (cf. consid. 2a du jugement entrepris). La situation personnelle de l’appelant a été exposée (consid. 2a). Son casier judiciaire est vierge. Sa faute doit être qualifiée de moyenne. En tant que détenteur du chien, il a nié avoir contrevenu à son devoir de diligence et s’est considéré uniquement coresponsable de l’accident avec les parents de la victime. Il s’est néanmoins enquis de l’état de santé X__________ et a annoncé le sinistre à son assurance responsabilité civile, afin qu’un dédommagement puisse intervenir. Depuis les faits litigieux, l’accusé n’a pas encore pris pleinement conscience de ses obligations en tant que propriétaire de chien, ayant renoncé à mettre systématiquement une muselière à L___________, alors même qu’il l’avait promis à Y__________, voire même en ne le tenant pas en laisse à J___________. Il a consenti, en cas de condamnation, à exécuter un travail d’intérêt général, mais le premier juge a estimé que ses activités professionnelles ne lui laissaient pas suffisamment de disponibilité. Non remise en cause en appel, le juge de céans fait sienne cette appréciation. Les considérations qui précèdent, ainsi que le devoir de réserve que s’impose l’autorité de recours dans sa tâche d’individualisation des peines, conduisent le juge de céans à confirmer la peine de 8 jours-amende, prononcée par l'autorité inférieure, peine qui n'apparaît ni déséquilibrée, ni excessivement sévère. Le montant du jour-amende de 70 fr. est également confirmé, la situation financière du l’appelant n’ayant pas été modifiée depuis les débats de première instance. b) Pour les motifs exposés par le premier juge (consid. 4 du jugement querellé) et en raison de l'interdiction de la reformatio in pejus, le sursis doit être confirmé, avec un délai d'épreuve de deux ans.</w:t>
      </w:r>
    </w:p>
    <w:p>
      <w:r>
        <w:rPr>
          <w:b/>
        </w:rPr>
        <w:t>E. 6</w:t>
      </w:r>
    </w:p>
    <w:p>
      <w:r>
        <w:t>En l’absence d’appel sur ce point, le sort de la plainte de E___________ ainsi que celui des prétentions civiles, tels que fixés par le premier juge (consid. 1b/X et 5) sont confirmés purement et simplement.</w:t>
      </w:r>
    </w:p>
    <w:p>
      <w:r>
        <w:rPr>
          <w:b/>
        </w:rPr>
        <w:t>E. 7</w:t>
      </w:r>
    </w:p>
    <w:p>
      <w:r>
        <w:t>a) En vertu de l'art. 207 ch. 1 aCPP, la condamnation à une peine entraîne en principe la condamnation aux frais pénaux ainsi qu'aux dépens des parties.</w:t>
      </w:r>
    </w:p>
    <w:p>
      <w:r>
        <w:t>- 11 - En l'espèce, Z__________, reconnu coupable de lésions corporelles simples par négligence, supporte les frais d'instruction et de première instance, dont le montant - 2483 fr. -, non contesté, est confirmé. Vu le sort du l’appel, les frais de la procédure de recours sont également mis à sa charge. b) Pour la procédure d'appel devant le Tribunal cantonal, l'émolument est compris entre 380 fr. et 5000 fr. (art. 22 let. f LTar). En l’occurrence, compte tenu de la difficulté relative de l'affaire, l'émolument de justice est fixé à 1100 fr., montant auquel s’ajoutent les frais d’huissier, par 25 fr., portant les frais de justice à 1125 francs. L’appelant supporte ainsi le montant total de 3608 fr. (2483 fr. + 1125 fr.). c) Non contestée en appel, la somme de 4450 fr. allouée à titre de dépens en première instance aux parties civiles peut être confirmée. Compte tenu de l’activité déployée en deuxième instance, soit la lecture de la déclaration d’appel, ainsi que la préparation des débats et la participation à ceux-ci, les dépens sont arrêtés à 1200 fr., débours compris. L’appelant versera par conséquent 5250 fr. de dépens aux parties civiles.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